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officeDocument/2006/relationships/extended-properties" Target="docProps/app.xml"/><Relationship Id="rId3"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body>
    <w:p>
      <w:pPr/>
    </w:p>
    <w:p>
      <w:pPr>
        <w:pStyle w:val="Heading1"/>
      </w:pPr>
      <w:r>
        <w:t xml:space="preserve">Mutual Non-Circumvention Agreement</w:t>
      </w:r>
    </w:p>
    <w:p>
      <w:pPr/>
      <w:r>
        <w:t xml:space="preserve">Signed before the introductory call. It replaces an NDA: each side agrees not to go around the other, and nothing is treated as confidential.</w:t>
      </w:r>
    </w:p>
    <w:p>
      <w:pPr>
        <w:pStyle w:val="Heading2"/>
      </w:pPr>
      <w:r>
        <w:t xml:space="preserve">1. Parties and purpose</w:t>
      </w:r>
    </w:p>
    <w:p>
      <w:pPr/>
      <w:r>
        <w:t xml:space="preserve">This agreement is between:</w:t>
      </w:r>
    </w:p>
    <w:p>
      <w:pPr/>
      <w:r>
        <w:rPr>
          <w:b/>
          <w:bCs/>
        </w:rPr>
        <w:t xml:space="preserve">Cloud WiFi Ltd</w:t>
      </w:r>
      <w:r>
        <w:t xml:space="preserve">, a company registered in England and Wales (company number 13521157), trading as VelocityDev ("VelocityDev"); and</w:t>
      </w:r>
    </w:p>
    <w:p>
      <w:pPr/>
      <w:r>
        <w:rPr>
          <w:b/>
          <w:bCs/>
        </w:rPr>
        <w:t xml:space="preserve">[Founder full name]</w:t>
      </w:r>
      <w:r>
        <w:t xml:space="preserve"> of [address], [and, if applicable, [Company name], company number [number]] (the "Founder").</w:t>
      </w:r>
    </w:p>
    <w:p>
      <w:pPr/>
      <w:r>
        <w:t xml:space="preserve">The Founder has sent VelocityDev a concept document and the parties intend to hold an introductory call and, if both wish, a deeper evaluation of whether VelocityDev will co-build the Founder's product in exchange for equity. Each party wants assurance that the other will not use the evaluation to go around it. This agreement gives that assurance. It is deliberately not a non-disclosure agreement: see clause 6.</w:t>
      </w:r>
    </w:p>
    <w:p>
      <w:pPr>
        <w:pStyle w:val="Heading2"/>
      </w:pPr>
      <w:r>
        <w:t xml:space="preserve">2. Definitions</w:t>
      </w:r>
    </w:p>
    <w:p>
      <w:pPr/>
      <w:r>
        <w:rPr>
          <w:b/>
          <w:bCs/>
        </w:rPr>
        <w:t xml:space="preserve">Concept</w:t>
      </w:r>
      <w:r>
        <w:t xml:space="preserve"> means the specific product described in the Founder's concept document dated [date] and titled "[title]", as that description is elaborated by the Founder during the Evaluation. It means that particular product for that particular customer, not the general category, market or problem it addresses.</w:t>
      </w:r>
    </w:p>
    <w:p>
      <w:pPr/>
      <w:r>
        <w:rPr>
          <w:b/>
          <w:bCs/>
        </w:rPr>
        <w:t xml:space="preserve">Process</w:t>
      </w:r>
      <w:r>
        <w:t xml:space="preserve"> means VelocityDev's non-public methods of evaluating, scoping and co-building ventures, including its selection criteria beyond those published at velocitydev.ai, its term sheet structure and vesting mechanics, its build methodology and internal tooling, and its pricing and economics, as disclosed to the Founder during the Evaluation.</w:t>
      </w:r>
    </w:p>
    <w:p>
      <w:pPr/>
      <w:r>
        <w:rPr>
          <w:b/>
          <w:bCs/>
        </w:rPr>
        <w:t xml:space="preserve">Evaluation</w:t>
      </w:r>
      <w:r>
        <w:t xml:space="preserve"> means the introductory call, any deep-dive review and any related correspondence between the parties concerning the Concept, from the date of this agreement until either party tells the other in writing that it is not proceeding, or a term sheet is signed, whichever is first.</w:t>
      </w:r>
    </w:p>
    <w:p>
      <w:pPr/>
      <w:r>
        <w:rPr>
          <w:b/>
          <w:bCs/>
        </w:rPr>
        <w:t xml:space="preserve">Competing Builder</w:t>
      </w:r>
      <w:r>
        <w:t xml:space="preserve"> means any person or business that offers technical development, co-founding or venture-building services in exchange for equity or revenue share.</w:t>
      </w:r>
    </w:p>
    <w:p>
      <w:pPr>
        <w:pStyle w:val="Heading2"/>
      </w:pPr>
      <w:r>
        <w:t xml:space="preserve">3. VelocityDev's undertaking</w:t>
      </w:r>
    </w:p>
    <w:p>
      <w:pPr/>
      <w:r>
        <w:t xml:space="preserve">If VelocityDev declines to proceed with the Founder, or the parties do not sign a term sheet, VelocityDev will not, during the Restricted Period:</w:t>
      </w:r>
    </w:p>
    <w:p>
      <w:pPr>
        <w:pStyle w:val="ListParagraph"/>
        <w:numPr>
          <w:ilvl w:val="0"/>
          <w:numId w:val="2"/>
        </w:numPr>
      </w:pPr>
      <w:r>
        <w:t xml:space="preserve">build, launch or operate the Concept itself, or through any company it controls;</w:t>
      </w:r>
    </w:p>
    <w:p>
      <w:pPr>
        <w:pStyle w:val="ListParagraph"/>
        <w:numPr>
          <w:ilvl w:val="0"/>
          <w:numId w:val="2"/>
        </w:numPr>
      </w:pPr>
      <w:r>
        <w:t xml:space="preserve">co-build the Concept with any other founder; or</w:t>
      </w:r>
    </w:p>
    <w:p>
      <w:pPr>
        <w:pStyle w:val="ListParagraph"/>
        <w:numPr>
          <w:ilvl w:val="0"/>
          <w:numId w:val="2"/>
        </w:numPr>
      </w:pPr>
      <w:r>
        <w:t xml:space="preserve">introduce the Concept to any third party for the purpose of their building it.</w:t>
      </w:r>
    </w:p>
    <w:p>
      <w:pPr/>
      <w:r>
        <w:t xml:space="preserve">This undertaking covers the Concept as defined in clause 2. It does not stop VelocityDev building products in the same category, market or for the same customers, provided they are not the Concept, and clause 5 applies.</w:t>
      </w:r>
    </w:p>
    <w:p>
      <w:pPr>
        <w:pStyle w:val="Heading2"/>
      </w:pPr>
      <w:r>
        <w:t xml:space="preserve">4. The Founder's undertaking</w:t>
      </w:r>
    </w:p>
    <w:p>
      <w:pPr/>
      <w:r>
        <w:t xml:space="preserve">The Founder will not, during the Restricted Period:</w:t>
      </w:r>
    </w:p>
    <w:p>
      <w:pPr>
        <w:pStyle w:val="ListParagraph"/>
        <w:numPr>
          <w:ilvl w:val="0"/>
          <w:numId w:val="3"/>
        </w:numPr>
      </w:pPr>
      <w:r>
        <w:t xml:space="preserve">disclose the Process to a Competing Builder, or use it to negotiate with, brief or instruct one;</w:t>
      </w:r>
    </w:p>
    <w:p>
      <w:pPr>
        <w:pStyle w:val="ListParagraph"/>
        <w:numPr>
          <w:ilvl w:val="0"/>
          <w:numId w:val="3"/>
        </w:numPr>
      </w:pPr>
      <w:r>
        <w:t xml:space="preserve">use any scoping, architecture, build plan, estimate or term-sheet structure that VelocityDev prepares during the Evaluation as a specification or benchmark for a Competing Builder; or</w:t>
      </w:r>
    </w:p>
    <w:p>
      <w:pPr>
        <w:pStyle w:val="ListParagraph"/>
        <w:numPr>
          <w:ilvl w:val="0"/>
          <w:numId w:val="3"/>
        </w:numPr>
      </w:pPr>
      <w:r>
        <w:t xml:space="preserve">approach, directly or through others, any contractor, employee or portfolio company that VelocityDev introduces during the Evaluation, in order to obtain the build elsewhere.</w:t>
      </w:r>
    </w:p>
    <w:p>
      <w:pPr/>
      <w:r>
        <w:t xml:space="preserve">The Founder remains free to talk to other builders, investors and advisers about the Concept at any time. What is restricted is taking VelocityDev's work and methods to them, not the Founder's own idea.</w:t>
      </w:r>
    </w:p>
    <w:p>
      <w:pPr>
        <w:pStyle w:val="Heading2"/>
      </w:pPr>
      <w:r>
        <w:t xml:space="preserve">5. What is not restricted</w:t>
      </w:r>
    </w:p>
    <w:p>
      <w:pPr/>
      <w:r>
        <w:t xml:space="preserve">Neither undertaking applies to anything that:</w:t>
      </w:r>
    </w:p>
    <w:p>
      <w:pPr>
        <w:pStyle w:val="ListParagraph"/>
        <w:numPr>
          <w:ilvl w:val="0"/>
          <w:numId w:val="4"/>
        </w:numPr>
      </w:pPr>
      <w:r>
        <w:t xml:space="preserve">is, or becomes, publicly available other than through a breach of this agreement;</w:t>
      </w:r>
    </w:p>
    <w:p>
      <w:pPr>
        <w:pStyle w:val="ListParagraph"/>
        <w:numPr>
          <w:ilvl w:val="0"/>
          <w:numId w:val="4"/>
        </w:numPr>
      </w:pPr>
      <w:r>
        <w:t xml:space="preserve">the receiving party already had, or was already working on, before the Evaluation, including VelocityDev's existing and planned portfolio products and the general-purpose platforms and libraries underneath them;</w:t>
      </w:r>
    </w:p>
    <w:p>
      <w:pPr>
        <w:pStyle w:val="ListParagraph"/>
        <w:numPr>
          <w:ilvl w:val="0"/>
          <w:numId w:val="4"/>
        </w:numPr>
      </w:pPr>
      <w:r>
        <w:t xml:space="preserve">the receiving party develops independently without reference to the other party's material, or receives from a third party free of any restriction;</w:t>
      </w:r>
    </w:p>
    <w:p>
      <w:pPr>
        <w:pStyle w:val="ListParagraph"/>
        <w:numPr>
          <w:ilvl w:val="0"/>
          <w:numId w:val="4"/>
        </w:numPr>
      </w:pPr>
      <w:r>
        <w:t xml:space="preserve">is general skill, knowledge or experience in building software, running a venture studio or operating in the Founder's market; or</w:t>
      </w:r>
    </w:p>
    <w:p>
      <w:pPr>
        <w:pStyle w:val="ListParagraph"/>
        <w:numPr>
          <w:ilvl w:val="0"/>
          <w:numId w:val="4"/>
        </w:numPr>
      </w:pPr>
      <w:r>
        <w:t xml:space="preserve">is a product category, business model, customer segment or problem, as distinct from the Concept itself.</w:t>
      </w:r>
    </w:p>
    <w:p>
      <w:pPr/>
      <w:r>
        <w:t xml:space="preserve">VelocityDev sees many concepts in overlapping markets and may already be evaluating or building products close to the Concept. The Founder accepts that proximity alone is not a breach; building the Concept is.</w:t>
      </w:r>
    </w:p>
    <w:p>
      <w:pPr>
        <w:pStyle w:val="Heading2"/>
      </w:pPr>
      <w:r>
        <w:t xml:space="preserve">6. No confidentiality, no obligation to proceed</w:t>
      </w:r>
    </w:p>
    <w:p>
      <w:pPr/>
      <w:r>
        <w:t xml:space="preserve">This agreement creates no duty of confidentiality on either party. VelocityDev treats all concept submissions and Evaluation material as informational. If the Founder wants something kept secret, the Founder should not disclose it.</w:t>
      </w:r>
    </w:p>
    <w:p>
      <w:pPr/>
      <w:r>
        <w:t xml:space="preserve">Nothing in this agreement obliges either party to enter into any further agreement, to continue the Evaluation, or to deal exclusively with the other. Either party may end the Evaluation at any time by written notice, including email. Each party bears its own costs.</w:t>
      </w:r>
    </w:p>
    <w:p>
      <w:pPr/>
      <w:r>
        <w:t xml:space="preserve">No licence or assignment of any intellectual property passes under this agreement. The Founder keeps the Concept; VelocityDev keeps the Process. Ownership of anything built is dealt with in a term sheet and shareholders' agreement, if those are signed.</w:t>
      </w:r>
    </w:p>
    <w:p>
      <w:pPr>
        <w:pStyle w:val="Heading2"/>
      </w:pPr>
      <w:r>
        <w:t xml:space="preserve">7. Term and remedies</w:t>
      </w:r>
    </w:p>
    <w:p>
      <w:pPr/>
      <w:r>
        <w:t xml:space="preserve">The </w:t>
      </w:r>
      <w:r>
        <w:rPr>
          <w:b/>
          <w:bCs/>
        </w:rPr>
        <w:t xml:space="preserve">Restricted Period</w:t>
      </w:r>
      <w:r>
        <w:t xml:space="preserve"> runs from the date of this agreement until 12 months after the Evaluation ends. Clauses 5, 6, 7 and 8 survive it.</w:t>
      </w:r>
    </w:p>
    <w:p>
      <w:pPr/>
      <w:r>
        <w:t xml:space="preserve">Each party acknowledges that damages may not be an adequate remedy for a breach of clause 3 or 4, and that the other party may seek an injunction or other equitable relief in addition to any other remedy. Neither party is liable to the other for any indirect or consequential loss, or for any loss of profit, under or in connection with this agreement.</w:t>
      </w:r>
    </w:p>
    <w:p>
      <w:pPr/>
      <w:r>
        <w:t xml:space="preserve">If a term sheet is signed, this agreement is superseded by it on the matters the term sheet covers.</w:t>
      </w:r>
    </w:p>
    <w:p>
      <w:pPr>
        <w:pStyle w:val="Heading2"/>
      </w:pPr>
      <w:r>
        <w:t xml:space="preserve">8. General</w:t>
      </w:r>
    </w:p>
    <w:p>
      <w:pPr>
        <w:pStyle w:val="ListParagraph"/>
        <w:numPr>
          <w:ilvl w:val="0"/>
          <w:numId w:val="5"/>
        </w:numPr>
      </w:pPr>
      <w:r>
        <w:rPr>
          <w:b/>
          <w:bCs/>
        </w:rPr>
        <w:t xml:space="preserve">Governing law and jurisdiction.</w:t>
      </w:r>
      <w:r>
        <w:t xml:space="preserve"> This agreement is governed by the law of England and Wales. The courts of England and Wales have non-exclusive jurisdiction, so that either party may enforce an injunction where the other is located.</w:t>
      </w:r>
    </w:p>
    <w:p>
      <w:pPr>
        <w:pStyle w:val="ListParagraph"/>
        <w:numPr>
          <w:ilvl w:val="0"/>
          <w:numId w:val="5"/>
        </w:numPr>
      </w:pPr>
      <w:r>
        <w:rPr>
          <w:b/>
          <w:bCs/>
        </w:rPr>
        <w:t xml:space="preserve">Entire agreement.</w:t>
      </w:r>
      <w:r>
        <w:t xml:space="preserve"> This is the whole agreement between the parties on its subject matter and replaces any earlier discussion of confidentiality or non-circumvention.</w:t>
      </w:r>
    </w:p>
    <w:p>
      <w:pPr>
        <w:pStyle w:val="ListParagraph"/>
        <w:numPr>
          <w:ilvl w:val="0"/>
          <w:numId w:val="5"/>
        </w:numPr>
      </w:pPr>
      <w:r>
        <w:rPr>
          <w:b/>
          <w:bCs/>
        </w:rPr>
        <w:t xml:space="preserve">Assignment.</w:t>
      </w:r>
      <w:r>
        <w:t xml:space="preserve"> Neither party may assign this agreement without the other's written consent, except that VelocityDev may assign it to a successor entity that takes over the VelocityDev business, on written notice to the Founder.</w:t>
      </w:r>
    </w:p>
    <w:p>
      <w:pPr>
        <w:pStyle w:val="ListParagraph"/>
        <w:numPr>
          <w:ilvl w:val="0"/>
          <w:numId w:val="5"/>
        </w:numPr>
      </w:pPr>
      <w:r>
        <w:rPr>
          <w:b/>
          <w:bCs/>
        </w:rPr>
        <w:t xml:space="preserve">Variation and waiver.</w:t>
      </w:r>
      <w:r>
        <w:t xml:space="preserve"> Any change must be in writing and signed by both parties. A delay in enforcing a right is not a waiver of it.</w:t>
      </w:r>
    </w:p>
    <w:p>
      <w:pPr>
        <w:pStyle w:val="ListParagraph"/>
        <w:numPr>
          <w:ilvl w:val="0"/>
          <w:numId w:val="5"/>
        </w:numPr>
      </w:pPr>
      <w:r>
        <w:rPr>
          <w:b/>
          <w:bCs/>
        </w:rPr>
        <w:t xml:space="preserve">Severance.</w:t>
      </w:r>
      <w:r>
        <w:t xml:space="preserve"> If any provision is found unenforceable, the rest of the agreement stands and the provision is read down to the extent needed to make it enforceable.</w:t>
      </w:r>
    </w:p>
    <w:p>
      <w:pPr>
        <w:pStyle w:val="ListParagraph"/>
        <w:numPr>
          <w:ilvl w:val="0"/>
          <w:numId w:val="5"/>
        </w:numPr>
      </w:pPr>
      <w:r>
        <w:rPr>
          <w:b/>
          <w:bCs/>
        </w:rPr>
        <w:t xml:space="preserve">Notices.</w:t>
      </w:r>
      <w:r>
        <w:t xml:space="preserve"> Notices may be given by email to the addresses below and are effective on sending, unless a bounce is received.</w:t>
      </w:r>
    </w:p>
    <w:p>
      <w:pPr>
        <w:pStyle w:val="ListParagraph"/>
        <w:numPr>
          <w:ilvl w:val="0"/>
          <w:numId w:val="5"/>
        </w:numPr>
      </w:pPr>
      <w:r>
        <w:rPr>
          <w:b/>
          <w:bCs/>
        </w:rPr>
        <w:t xml:space="preserve">Third parties.</w:t>
      </w:r>
      <w:r>
        <w:t xml:space="preserve"> No one other than the parties has any right to enforce this agreement.</w:t>
      </w:r>
    </w:p>
    <w:p>
      <w:pPr>
        <w:pStyle w:val="ListParagraph"/>
        <w:numPr>
          <w:ilvl w:val="0"/>
          <w:numId w:val="5"/>
        </w:numPr>
      </w:pPr>
      <w:r>
        <w:rPr>
          <w:b/>
          <w:bCs/>
        </w:rPr>
        <w:t xml:space="preserve">Signing.</w:t>
      </w:r>
      <w:r>
        <w:t xml:space="preserve"> This agreement may be signed electronically and in counterparts, each of which is an original and which together form one agreement.</w:t>
      </w:r>
    </w:p>
    <w:p>
      <w:pPr>
        <w:pStyle w:val="Heading2"/>
      </w:pPr>
      <w:r>
        <w:t xml:space="preserve">Signatures</w:t>
      </w:r>
    </w:p>
    <w:tbl>
      <w:tblPr>
        <w:tblStyle w:val="TableGrid"/>
        <w:tblW w:w="0" w:type="auto"/>
        <w:tblLayout w:type="fixed"/>
        <w:tblLook w:val="04A0" w:firstRow="1" w:lastRow="0" w:firstColumn="0" w:lastColumn="0" w:noHBand="0" w:noVBand="1"/>
      </w:tblPr>
      <w:tblGrid>
        <w:gridCol w:w="2064"/>
        <w:gridCol w:w="3797"/>
        <w:gridCol w:w="3498"/>
      </w:tblGrid>
      <w:tr>
        <w:trPr>
          <w:tblHeader/>
        </w:trPr>
        <w:tc>
          <w:tcPr>
            <w:tcW w:w="2064" w:type="dxa"/>
            <w:shd w:val="clear" w:color="auto" w:fill="F2F2F2"/>
          </w:tcPr>
          <w:p>
            <w:pPr/>
          </w:p>
        </w:tc>
        <w:tc>
          <w:tcPr>
            <w:tcW w:w="3797" w:type="dxa"/>
            <w:shd w:val="clear" w:color="auto" w:fill="F2F2F2"/>
          </w:tcPr>
          <w:p>
            <w:pPr/>
            <w:r>
              <w:t xml:space="preserve">VelocityDev</w:t>
            </w:r>
          </w:p>
        </w:tc>
        <w:tc>
          <w:tcPr>
            <w:tcW w:w="3498" w:type="dxa"/>
            <w:shd w:val="clear" w:color="auto" w:fill="F2F2F2"/>
          </w:tcPr>
          <w:p>
            <w:pPr/>
            <w:r>
              <w:t xml:space="preserve">Founder</w:t>
            </w:r>
          </w:p>
        </w:tc>
      </w:tr>
      <w:tr>
        <w:tc>
          <w:tcPr>
            <w:tcW w:w="2064" w:type="dxa"/>
          </w:tcPr>
          <w:p>
            <w:pPr/>
            <w:r>
              <w:t xml:space="preserve">Signed by</w:t>
            </w:r>
          </w:p>
        </w:tc>
        <w:tc>
          <w:tcPr>
            <w:tcW w:w="3797" w:type="dxa"/>
          </w:tcPr>
          <w:p>
            <w:pPr/>
            <w:r>
              <w:t xml:space="preserve">Daniel Titton, Director, for and on behalf of Cloud WiFi Ltd</w:t>
            </w:r>
          </w:p>
        </w:tc>
        <w:tc>
          <w:tcPr>
            <w:tcW w:w="3498" w:type="dxa"/>
          </w:tcPr>
          <w:p>
            <w:pPr/>
            <w:r>
              <w:t xml:space="preserve">[Founder full name] [, Director, for and on behalf of [Company name]]</w:t>
            </w:r>
          </w:p>
        </w:tc>
      </w:tr>
      <w:tr>
        <w:tc>
          <w:tcPr>
            <w:tcW w:w="2064" w:type="dxa"/>
          </w:tcPr>
          <w:p>
            <w:pPr/>
            <w:r>
              <w:t xml:space="preserve">Signature</w:t>
            </w:r>
          </w:p>
        </w:tc>
        <w:tc>
          <w:tcPr>
            <w:tcW w:w="3797" w:type="dxa"/>
          </w:tcPr>
          <w:p>
            <w:pPr/>
          </w:p>
        </w:tc>
        <w:tc>
          <w:tcPr>
            <w:tcW w:w="3498" w:type="dxa"/>
          </w:tcPr>
          <w:p>
            <w:pPr/>
          </w:p>
        </w:tc>
      </w:tr>
      <w:tr>
        <w:tc>
          <w:tcPr>
            <w:tcW w:w="2064" w:type="dxa"/>
          </w:tcPr>
          <w:p>
            <w:pPr/>
            <w:r>
              <w:t xml:space="preserve">Email for notices</w:t>
            </w:r>
          </w:p>
        </w:tc>
        <w:tc>
          <w:tcPr>
            <w:tcW w:w="3797" w:type="dxa"/>
          </w:tcPr>
          <w:p>
            <w:pPr/>
            <w:r>
              <w:t xml:space="preserve">hello@velocitydev.ai</w:t>
            </w:r>
          </w:p>
        </w:tc>
        <w:tc>
          <w:tcPr>
            <w:tcW w:w="3498" w:type="dxa"/>
          </w:tcPr>
          <w:p>
            <w:pPr/>
            <w:r>
              <w:t xml:space="preserve">[email]</w:t>
            </w:r>
          </w:p>
        </w:tc>
      </w:tr>
      <w:tr>
        <w:tc>
          <w:tcPr>
            <w:tcW w:w="2064" w:type="dxa"/>
          </w:tcPr>
          <w:p>
            <w:pPr/>
            <w:r>
              <w:t xml:space="preserve">Date</w:t>
            </w:r>
          </w:p>
        </w:tc>
        <w:tc>
          <w:tcPr>
            <w:tcW w:w="3797" w:type="dxa"/>
          </w:tcPr>
          <w:p>
            <w:pPr/>
          </w:p>
        </w:tc>
        <w:tc>
          <w:tcPr>
            <w:tcW w:w="3498" w:type="dxa"/>
          </w:tcPr>
          <w:p>
            <w:pPr/>
          </w:p>
        </w:tc>
      </w:tr>
    </w:tbl>
    <w:p/>
    <w:sectPr>
      <w:pgSz w:w="12240" w:h="15840"/>
      <w:pgMar w:top="1440" w:right="1440" w:bottom="1440" w:left="1440" w:header="720" w:footer="720" w:gutter="0"/>
    </w:sectPr>
  </w:body>
</w:document>
</file>

<file path=word/numbering.xml><?xml version="1.0" encoding="utf-8"?>
<w:numbering xmlns:w="http://schemas.openxmlformats.org/wordprocessingml/2006/main">
  <w:abstractNum w:abstractNumId="0">
    <w:multiLevelType w:val="hybridMultilevel"/>
    <w:lvl w:ilvl="0">
      <w:start w:val="1"/>
      <w:numFmt w:val="bullet"/>
      <w:lvlText w:val="•"/>
      <w:lvlJc w:val="left"/>
      <w:pPr>
        <w:ind w:left="720" w:hanging="360"/>
      </w:pPr>
    </w:lvl>
    <w:lvl w:ilvl="1">
      <w:start w:val="1"/>
      <w:numFmt w:val="bullet"/>
      <w:lvlText w:val="o"/>
      <w:lvlJc w:val="left"/>
      <w:pPr>
        <w:ind w:left="1440" w:hanging="360"/>
      </w:pPr>
    </w:lvl>
    <w:lvl w:ilvl="2">
      <w:start w:val="1"/>
      <w:numFmt w:val="bullet"/>
      <w:lvlText w:val="▪"/>
      <w:lvlJc w:val="left"/>
      <w:pPr>
        <w:ind w:left="2160" w:hanging="360"/>
      </w:pPr>
    </w:lvl>
    <w:lvl w:ilvl="3">
      <w:start w:val="1"/>
      <w:numFmt w:val="bullet"/>
      <w:lvlText w:val="•"/>
      <w:lvlJc w:val="left"/>
      <w:pPr>
        <w:ind w:left="2880" w:hanging="360"/>
      </w:pPr>
    </w:lvl>
    <w:lvl w:ilvl="4">
      <w:start w:val="1"/>
      <w:numFmt w:val="bullet"/>
      <w:lvlText w:val="o"/>
      <w:lvlJc w:val="left"/>
      <w:pPr>
        <w:ind w:left="3600" w:hanging="360"/>
      </w:pPr>
    </w:lvl>
    <w:lvl w:ilvl="5">
      <w:start w:val="1"/>
      <w:numFmt w:val="bullet"/>
      <w:lvlText w:val="▪"/>
      <w:lvlJc w:val="left"/>
      <w:pPr>
        <w:ind w:left="4320" w:hanging="360"/>
      </w:pPr>
    </w:lvl>
    <w:lvl w:ilvl="6">
      <w:start w:val="1"/>
      <w:numFmt w:val="bullet"/>
      <w:lvlText w:val="•"/>
      <w:lvlJc w:val="left"/>
      <w:pPr>
        <w:ind w:left="5040" w:hanging="360"/>
      </w:pPr>
    </w:lvl>
    <w:lvl w:ilvl="7">
      <w:start w:val="1"/>
      <w:numFmt w:val="bullet"/>
      <w:lvlText w:val="o"/>
      <w:lvlJc w:val="left"/>
      <w:pPr>
        <w:ind w:left="5760" w:hanging="360"/>
      </w:pPr>
    </w:lvl>
    <w:lvl w:ilvl="8">
      <w:start w:val="1"/>
      <w:numFmt w:val="bullet"/>
      <w:lvlText w:val="▪"/>
      <w:lvlJc w:val="left"/>
      <w:pPr>
        <w:ind w:left="6480" w:hanging="360"/>
      </w:pPr>
    </w:lvl>
  </w:abstractNum>
  <w:abstractNum w:abstractNumId="1">
    <w:multiLevelType w:val="hybrid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0"/>
  </w:num>
  <w:num w:numId="2">
    <w:abstractNumId w:val="1"/>
    <w:lvlOverride w:ilvl="0">
      <w:startOverride w:val="1"/>
    </w:lvlOverride>
  </w:num>
  <w:num w:numId="3">
    <w:abstractNumId w:val="1"/>
    <w:lvlOverride w:ilvl="0">
      <w:startOverride w:val="1"/>
    </w:lvlOverride>
  </w:num>
  <w:num w:numId="4">
    <w:abstractNumId w:val="1"/>
    <w:lvlOverride w:ilvl="0">
      <w:startOverride w:val="1"/>
    </w:lvlOverride>
  </w:num>
  <w:num w:numId="5">
    <w:abstractNumId w:val="1"/>
    <w:lvlOverride w:ilvl="0">
      <w:startOverride w:val="1"/>
    </w:lvlOverride>
  </w:num>
</w:numbering>
</file>

<file path=word/styles.xml><?xml version="1.0" encoding="utf-8"?>
<w:styles xmlns:w="http://schemas.openxmlformats.org/wordprocessingml/2006/main">
  <w:docDefaults>
    <w:rPrDefault>
      <w:rPr>
        <w:rFonts w:ascii="Calibri" w:hAnsi="Calibri" w:eastAsia="Calibri" w:cs="Calibri"/>
        <w:sz w:val="22"/>
        <w:szCs w:val="22"/>
        <w:lang w:val="en-US"/>
      </w:rPr>
    </w:rPrDefault>
    <w:pPrDefault>
      <w:pPr>
        <w:spacing w:after="160" w:line="259" w:lineRule="auto"/>
      </w:pPr>
    </w:pPrDefault>
  </w:docDefaults>
  <w:style w:type="paragraph" w:default="1" w:styleId="Normal">
    <w:name w:val="Normal"/>
    <w:qFormat/>
  </w:style>
  <w:style w:type="paragraph" w:styleId="Heading1">
    <w:name w:val="heading 1"/>
    <w:basedOn w:val="Normal"/>
    <w:next w:val="Normal"/>
    <w:qFormat/>
    <w:pPr>
      <w:keepNext/>
      <w:spacing w:before="360" w:after="120"/>
      <w:outlineLvl w:val="0"/>
    </w:pPr>
    <w:rPr>
      <w:b/>
      <w:bCs/>
      <w:sz w:val="32"/>
      <w:szCs w:val="32"/>
    </w:rPr>
  </w:style>
  <w:style w:type="paragraph" w:styleId="Heading2">
    <w:name w:val="heading 2"/>
    <w:basedOn w:val="Normal"/>
    <w:next w:val="Normal"/>
    <w:qFormat/>
    <w:pPr>
      <w:keepNext/>
      <w:spacing w:before="280" w:after="100"/>
      <w:outlineLvl w:val="1"/>
    </w:pPr>
    <w:rPr>
      <w:b/>
      <w:bCs/>
      <w:sz w:val="26"/>
      <w:szCs w:val="26"/>
    </w:rPr>
  </w:style>
  <w:style w:type="paragraph" w:styleId="Heading3">
    <w:name w:val="heading 3"/>
    <w:basedOn w:val="Normal"/>
    <w:next w:val="Normal"/>
    <w:qFormat/>
    <w:pPr>
      <w:keepNext/>
      <w:spacing w:before="240" w:after="80"/>
      <w:outlineLvl w:val="2"/>
    </w:pPr>
    <w:rPr>
      <w:b/>
      <w:bCs/>
      <w:sz w:val="24"/>
      <w:szCs w:val="24"/>
    </w:rPr>
  </w:style>
  <w:style w:type="paragraph" w:styleId="Heading4">
    <w:name w:val="heading 4"/>
    <w:basedOn w:val="Normal"/>
    <w:next w:val="Normal"/>
    <w:qFormat/>
    <w:pPr>
      <w:keepNext/>
      <w:outlineLvl w:val="3"/>
    </w:pPr>
    <w:rPr>
      <w:b/>
      <w:bCs/>
      <w:sz w:val="22"/>
      <w:szCs w:val="22"/>
    </w:rPr>
  </w:style>
  <w:style w:type="paragraph" w:styleId="Heading5">
    <w:name w:val="heading 5"/>
    <w:basedOn w:val="Normal"/>
    <w:next w:val="Normal"/>
    <w:qFormat/>
    <w:pPr>
      <w:keepNext/>
      <w:outlineLvl w:val="4"/>
    </w:pPr>
    <w:rPr>
      <w:b/>
      <w:bCs/>
      <w:sz w:val="22"/>
      <w:szCs w:val="22"/>
    </w:rPr>
  </w:style>
  <w:style w:type="paragraph" w:styleId="Heading6">
    <w:name w:val="heading 6"/>
    <w:basedOn w:val="Normal"/>
    <w:next w:val="Normal"/>
    <w:qFormat/>
    <w:pPr>
      <w:keepNext/>
      <w:outlineLvl w:val="5"/>
    </w:pPr>
    <w:rPr>
      <w:i/>
      <w:iCs/>
      <w:sz w:val="22"/>
      <w:szCs w:val="22"/>
    </w:rPr>
  </w:style>
  <w:style w:type="paragraph" w:styleId="Title">
    <w:name w:val="Title"/>
    <w:basedOn w:val="Normal"/>
    <w:next w:val="Normal"/>
    <w:qFormat/>
    <w:pPr>
      <w:spacing w:after="80"/>
      <w:contextualSpacing/>
    </w:pPr>
    <w:rPr>
      <w:sz w:val="56"/>
      <w:szCs w:val="56"/>
    </w:rPr>
  </w:style>
  <w:style w:type="paragraph" w:styleId="Quote">
    <w:name w:val="Quote"/>
    <w:basedOn w:val="Normal"/>
    <w:qFormat/>
    <w:pPr>
      <w:ind w:left="720" w:right="720"/>
      <w:pBdr>
        <w:left w:val="single" w:sz="12" w:space="8" w:color="A0A0A0"/>
      </w:pBdr>
    </w:pPr>
    <w:rPr>
      <w:i/>
      <w:iCs/>
      <w:color w:val="404040"/>
    </w:rPr>
  </w:style>
  <w:style w:type="paragraph" w:styleId="Code">
    <w:name w:val="Code"/>
    <w:basedOn w:val="Normal"/>
    <w:link w:val="CodeChar"/>
    <w:pPr>
      <w:spacing w:after="0" w:line="240" w:lineRule="auto"/>
      <w:contextualSpacing/>
      <w:shd w:val="clear" w:color="auto" w:fill="F5F5F5"/>
    </w:pPr>
    <w:rPr>
      <w:rFonts w:ascii="Consolas" w:hAnsi="Consolas" w:eastAsia="Consolas" w:cs="Consolas"/>
      <w:sz w:val="20"/>
      <w:szCs w:val="20"/>
    </w:rPr>
  </w:style>
  <w:style w:type="character" w:styleId="CodeChar">
    <w:name w:val="Code Char"/>
    <w:link w:val="Code"/>
    <w:rPr>
      <w:rFonts w:ascii="Consolas" w:hAnsi="Consolas" w:eastAsia="Consolas" w:cs="Consolas"/>
      <w:sz w:val="20"/>
      <w:szCs w:val="20"/>
      <w:shd w:val="clear" w:color="auto" w:fill="F5F5F5"/>
    </w:rPr>
  </w:style>
  <w:style w:type="paragraph" w:styleId="ListParagraph">
    <w:name w:val="List Paragraph"/>
    <w:basedOn w:val="Normal"/>
    <w:qFormat/>
    <w:pPr>
      <w:ind w:left="720"/>
      <w:contextualSpacing/>
    </w:pPr>
  </w:style>
  <w:style w:type="character" w:styleId="Hyperlink">
    <w:name w:val="Hyperlink"/>
    <w:rPr>
      <w:color w:val="0563C1"/>
      <w:u w:val="single"/>
    </w:rPr>
  </w:style>
  <w:style w:type="paragraph" w:styleId="CommentText">
    <w:name w:val="annotation text"/>
    <w:basedOn w:val="Normal"/>
    <w:link w:val="CommentTextChar"/>
    <w:pPr>
      <w:spacing w:line="240" w:lineRule="auto"/>
    </w:pPr>
    <w:rPr>
      <w:sz w:val="20"/>
      <w:szCs w:val="20"/>
    </w:rPr>
  </w:style>
  <w:style w:type="character" w:styleId="CommentReference">
    <w:name w:val="annotation reference"/>
    <w:rPr>
      <w:sz w:val="16"/>
      <w:szCs w:val="16"/>
    </w:rPr>
  </w:style>
  <w:style w:type="table" w:default="1" w:styleId="TableNormal">
    <w:name w:val="Normal Table"/>
    <w:tblPr>
      <w:tblInd w:w="0" w:type="dxa"/>
      <w:tblCellMar>
        <w:top w:w="0" w:type="dxa"/>
        <w:left w:w="108" w:type="dxa"/>
        <w:bottom w:w="0" w:type="dxa"/>
        <w:right w:w="108" w:type="dxa"/>
      </w:tblCellMar>
    </w:tbl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s>
</file>

<file path=docProps/app.xml><?xml version="1.0" encoding="utf-8"?>
<Properties xmlns="http://schemas.openxmlformats.org/officeDocument/2006/extended-properties">
  <Application>Claude Docs</Application>
  <AppVersion>2.0000</AppVersion>
</Properties>
</file>

<file path=docProps/core.xml><?xml version="1.0" encoding="utf-8"?>
<cp:coreProperties xmlns:cp="http://schemas.openxmlformats.org/package/2006/metadata/core-properties" xmlns:dc="http://purl.org/dc/elements/1.1/" xmlns:dcterms="http://purl.org/dc/terms/" xmlns:xsi="http://www.w3.org/2001/XMLSchema-instance">
  <dc:title>Mutual Non-Circumvention Agreement</dc:title>
  <dc:description>Claude Docs node/af76a32a-5e45@11 docx-w8</dc:description>
  <cp:revision>11</cp:revision>
</cp:coreProperties>
</file>